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3 </w:t>
      </w:r>
    </w:p>
    <w:tbl>
      <w:tblPr>
        <w:tblW w:w="5000" w:type="pct"/>
        <w:jc w:val="left"/>
        <w:tblInd w:w="0" w:type="dxa"/>
        <w:tblLayout w:type="fixed"/>
        <w:tblCellMar>
          <w:top w:w="60" w:type="dxa"/>
          <w:left w:w="60" w:type="dxa"/>
          <w:bottom w:w="60" w:type="dxa"/>
          <w:right w:w="60" w:type="dxa"/>
        </w:tblCellMar>
      </w:tblPr>
      <w:tblGrid>
        <w:gridCol w:w="2040"/>
        <w:gridCol w:w="6124"/>
        <w:gridCol w:w="2041"/>
      </w:tblGrid>
      <w:tr>
        <w:trPr/>
        <w:tc>
          <w:tcPr>
            <w:tcW w:w="2040" w:type="dxa"/>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3</w:t>
            </w:r>
          </w:p>
        </w:tc>
        <w:tc>
          <w:tcPr>
            <w:tcW w:w="6124" w:type="dxa"/>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INITIAL STATEMENT OF BENEFICIAL OWNERSHIP OF SECURITIES</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2041" w:type="dxa"/>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921"/>
            </w:tblGrid>
            <w:tr>
              <w:trPr/>
              <w:tc>
                <w:tcPr>
                  <w:tcW w:w="1921"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78"/>
                    <w:gridCol w:w="687"/>
                  </w:tblGrid>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3235-0104</w:t>
                        </w:r>
                      </w:p>
                    </w:tc>
                  </w:tr>
                  <w:tr>
                    <w:trPr/>
                    <w:tc>
                      <w:tcPr>
                        <w:tcW w:w="1865"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921"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061"/>
        <w:gridCol w:w="1531"/>
        <w:gridCol w:w="3061"/>
        <w:gridCol w:w="2552"/>
      </w:tblGrid>
      <w:tr>
        <w:trPr/>
        <w:tc>
          <w:tcPr>
            <w:tcW w:w="306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pPr>
                  <w:hyperlink r:id="rId2">
                    <w:r>
                      <w:rPr>
                        <w:rStyle w:val="InternetLink"/>
                      </w:rPr>
                      <w:t>Jonas Jessica</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600 BATTERY ST.</w:t>
                  </w:r>
                </w:p>
              </w:tc>
            </w:tr>
            <w:tr>
              <w:trPr/>
              <w:tc>
                <w:tcPr>
                  <w:tcW w:w="294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SAN FRANCISCO</w:t>
                  </w:r>
                </w:p>
              </w:tc>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98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94111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1531"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2. Date of Event Requiring Statement (Month/Day/Year)</w:t>
            </w:r>
            <w:r>
              <w:rPr/>
              <w:br/>
            </w:r>
            <w:r>
              <w:rPr>
                <w:rFonts w:ascii="Times;serif" w:hAnsi="Times;serif"/>
                <w:color w:val="0000FF"/>
                <w:sz w:val="24"/>
                <w:shd w:fill="FFFFFF" w:val="clear"/>
              </w:rPr>
              <w:t>10/09/2026</w:t>
            </w:r>
          </w:p>
        </w:tc>
        <w:tc>
          <w:tcPr>
            <w:tcW w:w="5613" w:type="dxa"/>
            <w:gridSpan w:val="2"/>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3.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3">
              <w:r>
                <w:rPr>
                  <w:rStyle w:val="InternetLink"/>
                </w:rPr>
                <w:t>Evernorth Holdings Inc.</w:t>
              </w:r>
            </w:hyperlink>
            <w:r>
              <w:rPr/>
              <w:t xml:space="preserve"> [ </w:t>
            </w:r>
            <w:r>
              <w:rPr>
                <w:rFonts w:ascii="Times;serif" w:hAnsi="Times;serif"/>
                <w:color w:val="0000FF"/>
                <w:sz w:val="24"/>
                <w:shd w:fill="FFFFFF" w:val="clear"/>
              </w:rPr>
              <w:t>XPRN</w:t>
            </w:r>
            <w:r>
              <w:rPr/>
              <w:t xml:space="preserve"> ] </w:t>
              <w:br/>
            </w:r>
            <w:r>
              <w:rPr>
                <w:rFonts w:ascii="arial;helvetica;sans-serif" w:hAnsi="arial;helvetica;sans-serif"/>
                <w:sz w:val="20"/>
              </w:rPr>
              <w:t>Foreign Trading Symbol</w:t>
            </w:r>
          </w:p>
        </w:tc>
      </w:tr>
      <w:tr>
        <w:trPr/>
        <w:tc>
          <w:tcPr>
            <w:tcW w:w="306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15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3061" w:type="dxa"/>
            <w:vMerge w:val="restart"/>
            <w:tcBorders>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4.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0"/>
              <w:gridCol w:w="441"/>
              <w:gridCol w:w="1030"/>
            </w:tblGrid>
            <w:tr>
              <w:trPr/>
              <w:tc>
                <w:tcPr>
                  <w:tcW w:w="440"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1"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CLO and Sec.</w:t>
                  </w:r>
                </w:p>
              </w:tc>
            </w:tr>
          </w:tbl>
          <w:p>
            <w:pPr>
              <w:pStyle w:val="TableContents"/>
              <w:bidi w:val="0"/>
              <w:spacing w:before="0" w:after="283"/>
              <w:jc w:val="left"/>
              <w:rPr>
                <w:sz w:val="4"/>
                <w:szCs w:val="4"/>
              </w:rPr>
            </w:pPr>
            <w:r>
              <w:rPr>
                <w:sz w:val="4"/>
                <w:szCs w:val="4"/>
              </w:rPr>
            </w:r>
          </w:p>
        </w:tc>
        <w:tc>
          <w:tcPr>
            <w:tcW w:w="2552"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5. If Amendment, Date of Original Filed (Month/Day/Year)</w:t>
            </w:r>
          </w:p>
        </w:tc>
      </w:tr>
      <w:tr>
        <w:trPr/>
        <w:tc>
          <w:tcPr>
            <w:tcW w:w="306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5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30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255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364"/>
              <w:gridCol w:w="2068"/>
            </w:tblGrid>
            <w:tr>
              <w:trPr/>
              <w:tc>
                <w:tcPr>
                  <w:tcW w:w="364"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364" w:type="dxa"/>
                  <w:tcBorders/>
                  <w:vAlign w:val="center"/>
                </w:tcPr>
                <w:p>
                  <w:pPr>
                    <w:pStyle w:val="TableContents"/>
                    <w:bidi w:val="0"/>
                    <w:spacing w:before="0" w:after="283"/>
                    <w:jc w:val="left"/>
                    <w:rPr>
                      <w:sz w:val="4"/>
                      <w:szCs w:val="4"/>
                    </w:rPr>
                  </w:pPr>
                  <w:r>
                    <w:rPr>
                      <w:sz w:val="4"/>
                      <w:szCs w:val="4"/>
                    </w:rPr>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4424"/>
        <w:gridCol w:w="1962"/>
        <w:gridCol w:w="1162"/>
        <w:gridCol w:w="2657"/>
      </w:tblGrid>
      <w:tr>
        <w:trPr>
          <w:tblHeader w:val="true"/>
        </w:trPr>
        <w:tc>
          <w:tcPr>
            <w:tcW w:w="10205" w:type="dxa"/>
            <w:gridSpan w:val="4"/>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Beneficially Owned</w:t>
            </w:r>
          </w:p>
        </w:tc>
      </w:tr>
      <w:tr>
        <w:trPr>
          <w:tblHeader w:val="true"/>
        </w:trPr>
        <w:tc>
          <w:tcPr>
            <w:tcW w:w="4424" w:type="dxa"/>
            <w:tcBorders>
              <w:left w:val="single" w:sz="6"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4) </w:t>
            </w:r>
          </w:p>
        </w:tc>
        <w:tc>
          <w:tcPr>
            <w:tcW w:w="1962"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2. Amount of Securities Beneficially Owned (Instr. 4) </w:t>
            </w:r>
          </w:p>
        </w:tc>
        <w:tc>
          <w:tcPr>
            <w:tcW w:w="1162"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Ownership Form: Direct (D) or Indirect (I) (Instr. 5) </w:t>
            </w:r>
          </w:p>
        </w:tc>
        <w:tc>
          <w:tcPr>
            <w:tcW w:w="2657"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Nature of Indirect Beneficial Ownership (Instr. 5) </w:t>
            </w:r>
          </w:p>
        </w:tc>
      </w:tr>
    </w:tbl>
    <w:tbl>
      <w:tblPr>
        <w:tblW w:w="5000" w:type="pct"/>
        <w:jc w:val="left"/>
        <w:tblInd w:w="-7" w:type="dxa"/>
        <w:tblLayout w:type="fixed"/>
        <w:tblCellMar>
          <w:top w:w="60" w:type="dxa"/>
          <w:left w:w="60" w:type="dxa"/>
          <w:bottom w:w="60" w:type="dxa"/>
          <w:right w:w="60" w:type="dxa"/>
        </w:tblCellMar>
      </w:tblPr>
      <w:tblGrid>
        <w:gridCol w:w="1880"/>
        <w:gridCol w:w="1222"/>
        <w:gridCol w:w="1137"/>
        <w:gridCol w:w="1015"/>
        <w:gridCol w:w="957"/>
        <w:gridCol w:w="1285"/>
        <w:gridCol w:w="1256"/>
        <w:gridCol w:w="1453"/>
      </w:tblGrid>
      <w:tr>
        <w:trPr>
          <w:tblHeader w:val="true"/>
        </w:trPr>
        <w:tc>
          <w:tcPr>
            <w:tcW w:w="10205" w:type="dxa"/>
            <w:gridSpan w:val="8"/>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18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Derivative Security (Instr. 4) </w:t>
            </w:r>
          </w:p>
        </w:tc>
        <w:tc>
          <w:tcPr>
            <w:tcW w:w="235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2. Date Exercisable and Expiration Date (Month/Day/Year)</w:t>
            </w:r>
          </w:p>
        </w:tc>
        <w:tc>
          <w:tcPr>
            <w:tcW w:w="19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Title and Amount of Securities Underlying Derivative Security (Instr. 4) </w:t>
            </w:r>
          </w:p>
        </w:tc>
        <w:tc>
          <w:tcPr>
            <w:tcW w:w="128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Conversion or Exercise Price of Derivative Security </w:t>
            </w:r>
          </w:p>
        </w:tc>
        <w:tc>
          <w:tcPr>
            <w:tcW w:w="125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5. Ownership Form: Direct (D) or Indirect (I) (Instr. 5) </w:t>
            </w:r>
          </w:p>
        </w:tc>
        <w:tc>
          <w:tcPr>
            <w:tcW w:w="145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6. Nature of Indirect Beneficial Ownership (Instr. 5) </w:t>
            </w:r>
          </w:p>
        </w:tc>
      </w:tr>
      <w:tr>
        <w:trPr>
          <w:tblHeader w:val="true"/>
        </w:trPr>
        <w:tc>
          <w:tcPr>
            <w:tcW w:w="1880"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222"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Date Exercisable</w:t>
            </w:r>
          </w:p>
        </w:tc>
        <w:tc>
          <w:tcPr>
            <w:tcW w:w="1137"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Expiration Date</w:t>
            </w:r>
          </w:p>
        </w:tc>
        <w:tc>
          <w:tcPr>
            <w:tcW w:w="1015"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Title</w:t>
            </w:r>
          </w:p>
        </w:tc>
        <w:tc>
          <w:tcPr>
            <w:tcW w:w="957"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Amount or Number of Shares</w:t>
            </w:r>
          </w:p>
        </w:tc>
        <w:tc>
          <w:tcPr>
            <w:tcW w:w="128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25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453"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Exhibit 24 - Power of Attorney</w:t>
            </w:r>
          </w:p>
        </w:tc>
      </w:tr>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No securities are beneficially owned.</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Jessica Jonas</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10/09/2026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5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2" w:name="dp254841_ex24.htm"/>
      <w:bookmarkStart w:id="3" w:name="ksdp254841_ex24"/>
      <w:bookmarkEnd w:id="2"/>
      <w:bookmarkEnd w:id="3"/>
      <w:r>
        <w:rPr>
          <w:rFonts w:ascii="Times New Roman;Times;Serif" w:hAnsi="Times New Roman;Times;Serif"/>
          <w:b/>
          <w:i w:val="false"/>
          <w:caps w:val="false"/>
          <w:smallCaps w:val="false"/>
          <w:sz w:val="20"/>
        </w:rPr>
        <w:t>Exhibit 24</w:t>
      </w:r>
      <w:r>
        <w:br w:type="page"/>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POWER OF ATTORNEY</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Know all by these presents, that the undersigned hereby constitutes and appoints each of Asheesh Birla, Matthew Frymier and Sagar Shah as the undersigned’s true and lawful attorneys-in-fact to:</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obtain and maintain credentials, including any Form ID or amended Form ID, to enable the undersigned, directly or indirectly including through a delegated entity, account administrator or other designated filing agent, to submit and file information and documents via the SEC’s Electronic Data Gathering and Retrieval (“</w:t>
      </w:r>
      <w:r>
        <w:rPr>
          <w:rFonts w:ascii="Times New Roman;Times;Serif" w:hAnsi="Times New Roman;Times;Serif"/>
          <w:b/>
          <w:i w:val="false"/>
          <w:caps w:val="false"/>
          <w:smallCaps w:val="false"/>
          <w:sz w:val="20"/>
        </w:rPr>
        <w:t>EDGAR</w:t>
      </w:r>
      <w:r>
        <w:rPr>
          <w:rFonts w:ascii="Times New Roman;Times;Serif" w:hAnsi="Times New Roman;Times;Serif"/>
          <w:b w:val="false"/>
          <w:i w:val="false"/>
          <w:caps w:val="false"/>
          <w:smallCaps w:val="false"/>
          <w:sz w:val="20"/>
        </w:rPr>
        <w:t>”) system or successor EDGAR Next, including identification codes, verification codes, passwords and password management codes, and any related annual certifications or confirmations, and to act as the undersigned’s agent for such purposes;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execute for and on behalf of the undersigned, in the undersigned’s capacity as a reporting person pursuant to Section 16 of the Securities Exchange Act of 1934, as amended (the “</w:t>
      </w:r>
      <w:r>
        <w:rPr>
          <w:rFonts w:ascii="Times New Roman;Times;Serif" w:hAnsi="Times New Roman;Times;Serif"/>
          <w:b/>
          <w:i w:val="false"/>
          <w:caps w:val="false"/>
          <w:smallCaps w:val="false"/>
          <w:sz w:val="20"/>
        </w:rPr>
        <w:t>Exchange Act</w:t>
      </w:r>
      <w:r>
        <w:rPr>
          <w:rFonts w:ascii="Times New Roman;Times;Serif" w:hAnsi="Times New Roman;Times;Serif"/>
          <w:b w:val="false"/>
          <w:i w:val="false"/>
          <w:caps w:val="false"/>
          <w:smallCaps w:val="false"/>
          <w:sz w:val="20"/>
        </w:rPr>
        <w:t>”), and the rules thereunder of Evernorth Holdings Inc. (the “</w:t>
      </w:r>
      <w:r>
        <w:rPr>
          <w:rFonts w:ascii="Times New Roman;Times;Serif" w:hAnsi="Times New Roman;Times;Serif"/>
          <w:b/>
          <w:i w:val="false"/>
          <w:caps w:val="false"/>
          <w:smallCaps w:val="false"/>
          <w:sz w:val="20"/>
        </w:rPr>
        <w:t>Company</w:t>
      </w:r>
      <w:r>
        <w:rPr>
          <w:rFonts w:ascii="Times New Roman;Times;Serif" w:hAnsi="Times New Roman;Times;Serif"/>
          <w:b w:val="false"/>
          <w:i w:val="false"/>
          <w:caps w:val="false"/>
          <w:smallCaps w:val="false"/>
          <w:sz w:val="20"/>
        </w:rPr>
        <w:t>”), Forms 3, 4 and 5, including any amendments thereto, in accordance with Section 16(a) of the Exchange Act;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do and perform any and all acts, directly or indirectly including through a delegated entity, account administrator or other designated filing agent, for and on behalf of the undersigned which may be necessary or desirable to complete and execute any such Form 3, 4 or 5, complete and execute any amendment or amendments thereto, and timely file such form with the United States Securities and Exchange Commission (the “</w:t>
      </w:r>
      <w:r>
        <w:rPr>
          <w:rFonts w:ascii="Times New Roman;Times;Serif" w:hAnsi="Times New Roman;Times;Serif"/>
          <w:b/>
          <w:i w:val="false"/>
          <w:caps w:val="false"/>
          <w:smallCaps w:val="false"/>
          <w:sz w:val="20"/>
        </w:rPr>
        <w:t>SEC</w:t>
      </w:r>
      <w:r>
        <w:rPr>
          <w:rFonts w:ascii="Times New Roman;Times;Serif" w:hAnsi="Times New Roman;Times;Serif"/>
          <w:b w:val="false"/>
          <w:i w:val="false"/>
          <w:caps w:val="false"/>
          <w:smallCaps w:val="false"/>
          <w:sz w:val="20"/>
        </w:rPr>
        <w:t>”) and any applicable stock exchange or similar authority; and</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take any other action of any type whatsoever in connection with the foregoing which, in the opinion of any of such attorneys-in-fact, may be of benefit to, in the best interest of, or legally required by, the undersigned, it being understood that the documents executed by any of such attorneys-in-fact on behalf of the undersigned pursuant to this Power of Attorney shall be in such form and shall contain such terms and conditions as any of such attorneys-in-fact may approve in the discretion of any of such attorneys-in-fact.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undersigned hereby grants to each such attorney-in-fact full power and authority to act separately and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delegation or revocation, hereby ratifying and confirming all that any of such attorneys-in-fact, or the substitute or substitutes or delegee or delegees of any of such attorneys-in-fact,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Exchange Act.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  This Power of Attorney supersedes all other powers of attorney previously executed by the undersigned in respect of the subject matter described herein.</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jc w:val="center"/>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undersigned has caused this Power of Attorney to be executed as of this 7th day of October 2026.</w:t>
      </w:r>
    </w:p>
    <w:p>
      <w:pPr>
        <w:pStyle w:val="TextBody"/>
        <w:bidi w:val="0"/>
        <w:spacing w:before="0" w:after="0"/>
        <w:ind w:left="0" w:right="0" w:firstLine="720"/>
        <w:jc w:val="left"/>
        <w:rPr>
          <w:caps w:val="false"/>
          <w:smallCaps w:val="false"/>
        </w:rPr>
      </w:pPr>
      <w:r>
        <w:rPr>
          <w:caps w:val="false"/>
          <w:smallCaps w:val="false"/>
        </w:rPr>
        <w:t> </w:t>
      </w:r>
    </w:p>
    <w:tbl>
      <w:tblPr>
        <w:tblW w:w="2260" w:type="dxa"/>
        <w:jc w:val="left"/>
        <w:tblInd w:w="0" w:type="dxa"/>
        <w:tblLayout w:type="fixed"/>
        <w:tblCellMar>
          <w:top w:w="0" w:type="dxa"/>
          <w:left w:w="0" w:type="dxa"/>
          <w:bottom w:w="0" w:type="dxa"/>
          <w:right w:w="0" w:type="dxa"/>
        </w:tblCellMar>
      </w:tblPr>
      <w:tblGrid>
        <w:gridCol w:w="875"/>
        <w:gridCol w:w="1310"/>
        <w:gridCol w:w="75"/>
      </w:tblGrid>
      <w:tr>
        <w:trPr/>
        <w:tc>
          <w:tcPr>
            <w:tcW w:w="875" w:type="dxa"/>
            <w:tcBorders/>
            <w:vAlign w:val="center"/>
          </w:tcPr>
          <w:p>
            <w:pPr>
              <w:pStyle w:val="TableContents"/>
              <w:bidi w:val="0"/>
              <w:spacing w:before="0" w:after="283"/>
              <w:jc w:val="left"/>
              <w:rPr>
                <w:sz w:val="20"/>
              </w:rPr>
            </w:pPr>
            <w:r>
              <w:rPr>
                <w:sz w:val="20"/>
              </w:rPr>
              <w:t>Name:</w:t>
            </w:r>
          </w:p>
        </w:tc>
        <w:tc>
          <w:tcPr>
            <w:tcW w:w="1310" w:type="dxa"/>
            <w:tcBorders>
              <w:bottom w:val="single" w:sz="8" w:space="0" w:color="000000"/>
            </w:tcBorders>
            <w:tcMar>
              <w:bottom w:w="28" w:type="dxa"/>
            </w:tcMar>
            <w:vAlign w:val="center"/>
          </w:tcPr>
          <w:p>
            <w:pPr>
              <w:pStyle w:val="TableContents"/>
              <w:bidi w:val="0"/>
              <w:spacing w:before="0" w:after="283"/>
              <w:jc w:val="left"/>
              <w:rPr>
                <w:sz w:val="20"/>
              </w:rPr>
            </w:pPr>
            <w:r>
              <w:rPr>
                <w:sz w:val="20"/>
              </w:rPr>
              <w:t>Jessica Jonas</w:t>
            </w:r>
          </w:p>
        </w:tc>
        <w:tc>
          <w:tcPr>
            <w:tcW w:w="75" w:type="dxa"/>
            <w:tcBorders/>
            <w:vAlign w:val="center"/>
          </w:tcPr>
          <w:p>
            <w:pPr>
              <w:pStyle w:val="TableContents"/>
              <w:bidi w:val="0"/>
              <w:spacing w:before="0" w:after="283"/>
              <w:jc w:val="left"/>
              <w:rPr/>
            </w:pPr>
            <w:r>
              <w:rPr/>
              <w:t> </w:t>
            </w:r>
          </w:p>
        </w:tc>
      </w:tr>
      <w:tr>
        <w:trPr/>
        <w:tc>
          <w:tcPr>
            <w:tcW w:w="875" w:type="dxa"/>
            <w:tcBorders/>
            <w:vAlign w:val="center"/>
          </w:tcPr>
          <w:p>
            <w:pPr>
              <w:pStyle w:val="TableContents"/>
              <w:bidi w:val="0"/>
              <w:spacing w:before="0" w:after="283"/>
              <w:jc w:val="left"/>
              <w:rPr/>
            </w:pPr>
            <w:r>
              <w:rPr/>
              <w:t> </w:t>
            </w:r>
          </w:p>
        </w:tc>
        <w:tc>
          <w:tcPr>
            <w:tcW w:w="131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875" w:type="dxa"/>
            <w:tcBorders/>
            <w:vAlign w:val="center"/>
          </w:tcPr>
          <w:p>
            <w:pPr>
              <w:pStyle w:val="TableContents"/>
              <w:bidi w:val="0"/>
              <w:spacing w:before="0" w:after="283"/>
              <w:jc w:val="left"/>
              <w:rPr>
                <w:sz w:val="20"/>
              </w:rPr>
            </w:pPr>
            <w:r>
              <w:rPr>
                <w:sz w:val="20"/>
              </w:rPr>
              <w:t>Signature:</w:t>
            </w:r>
          </w:p>
        </w:tc>
        <w:tc>
          <w:tcPr>
            <w:tcW w:w="1310" w:type="dxa"/>
            <w:tcBorders>
              <w:bottom w:val="single" w:sz="8" w:space="0" w:color="000000"/>
            </w:tcBorders>
            <w:tcMar>
              <w:bottom w:w="28" w:type="dxa"/>
            </w:tcMar>
            <w:vAlign w:val="center"/>
          </w:tcPr>
          <w:p>
            <w:pPr>
              <w:pStyle w:val="TableContents"/>
              <w:bidi w:val="0"/>
              <w:spacing w:before="0" w:after="283"/>
              <w:jc w:val="left"/>
              <w:rPr>
                <w:sz w:val="20"/>
              </w:rPr>
            </w:pPr>
            <w:r>
              <w:rPr>
                <w:sz w:val="20"/>
              </w:rPr>
              <w:t>/s/ Jessica Jonas</w:t>
            </w:r>
          </w:p>
        </w:tc>
        <w:tc>
          <w:tcPr>
            <w:tcW w:w="75" w:type="dxa"/>
            <w:tcBorders/>
            <w:vAlign w:val="center"/>
          </w:tcPr>
          <w:p>
            <w:pPr>
              <w:pStyle w:val="TableContents"/>
              <w:bidi w:val="0"/>
              <w:spacing w:before="0" w:after="283"/>
              <w:jc w:val="left"/>
              <w:rPr/>
            </w:pPr>
            <w:r>
              <w:rPr/>
              <w:t> </w:t>
            </w:r>
          </w:p>
        </w:tc>
      </w:tr>
    </w:tbl>
    <w:p>
      <w:pPr>
        <w:pStyle w:val="TextBody"/>
        <w:bidi w:val="0"/>
        <w:spacing w:before="0" w:after="0"/>
        <w:jc w:val="center"/>
        <w:rPr>
          <w:caps w:val="false"/>
          <w:smallCaps w:val="false"/>
          <w:bdr w:val="single" w:sz="8" w:space="1" w:color="000000"/>
        </w:rPr>
      </w:pPr>
      <w:r>
        <w:rPr>
          <w:caps w:val="false"/>
          <w:smallCaps w:val="false"/>
          <w:bdr w:val="single" w:sz="8" w:space="1" w:color="000000"/>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cgi-bin/browse-edgar?action=getcompany&amp;CIK=0002153092" TargetMode="External"/><Relationship Id="rId3" Type="http://schemas.openxmlformats.org/officeDocument/2006/relationships/hyperlink" Target="http://www.sec.gov/cgi-bin/browse-edgar?action=getcompany&amp;CIK=0002092592" TargetMode="External"/><Relationship Id="rId4" Type="http://schemas.openxmlformats.org/officeDocument/2006/relationships/image" Target="https://cdn.kscope.io/box-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1002</Words>
  <Characters>5403</Characters>
  <CharactersWithSpaces>6389</CharactersWithSpaces>
  <Paragraphs>98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