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FRYMIER MATTHEW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BATTERY ST.</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10/09/2026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Evernorth Holdings Inc.</w:t>
              </w:r>
            </w:hyperlink>
            <w:r>
              <w:rPr/>
              <w:t xml:space="preserve"> [ </w:t>
            </w:r>
            <w:r>
              <w:rPr>
                <w:rFonts w:ascii="Times;serif" w:hAnsi="Times;serif"/>
                <w:color w:val="0000FF"/>
                <w:sz w:val="24"/>
                <w:shd w:fill="FFFFFF" w:val="clear"/>
              </w:rPr>
              <w:t>XPRN</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CAO &amp; CFO</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Jessica Jonas, attorney-in-fact for Matthew Frymier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dp254838_ex24.htm"/>
      <w:bookmarkStart w:id="3" w:name="ksdp254838_ex24"/>
      <w:bookmarkEnd w:id="2"/>
      <w:bookmarkEnd w:id="3"/>
      <w:r>
        <w:rPr>
          <w:rFonts w:ascii="Times New Roman;Times;Serif" w:hAnsi="Times New Roman;Times;Serif"/>
          <w:b/>
          <w:i w:val="false"/>
          <w:caps w:val="false"/>
          <w:smallCaps w:val="false"/>
          <w:sz w:val="20"/>
        </w:rPr>
        <w:t>Exhibit 24</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each of Asheesh Birla, Sagar Shah and Jessica Jonas as the undersigned’s true and lawful attorneys-in-fact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obtain and maintain credentials, including any Form ID or amended Form ID, to enable the undersigned, directly or indirectly including through a delegated entity, account administrator or other designated filing agent, to submit and file information and documents via the SEC’s Electronic Data Gathering and Retrieval (“</w:t>
      </w:r>
      <w:r>
        <w:rPr>
          <w:rFonts w:ascii="Times New Roman;Times;Serif" w:hAnsi="Times New Roman;Times;Serif"/>
          <w:b/>
          <w:i w:val="false"/>
          <w:caps w:val="false"/>
          <w:smallCaps w:val="false"/>
          <w:sz w:val="20"/>
        </w:rPr>
        <w:t>EDGAR</w:t>
      </w:r>
      <w:r>
        <w:rPr>
          <w:rFonts w:ascii="Times New Roman;Times;Serif" w:hAnsi="Times New Roman;Times;Serif"/>
          <w:b w:val="false"/>
          <w:i w:val="false"/>
          <w:caps w:val="false"/>
          <w:smallCaps w:val="false"/>
          <w:sz w:val="20"/>
        </w:rPr>
        <w:t>”) system or successor EDGAR Next, including identification codes, verification codes, passwords and password management codes, and any related annual certifications or confirmations, and to act as the undersigned’s agent for such purposes;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execute for and on behalf of the undersigned, in the undersigned’s capacity as a reporting person pursuant to Section 16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and the rules thereunder of Evernorth Holdings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Forms 3, 4 and 5, including any amendments thereto, in accordance with Section 16(a)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do and perform any and all acts, directly or indirectly including through a delegated entity, account administrator or other designated filing agent, for and on behalf of the undersigned which may be necessary or desirable to complete and execute any such Form 3, 4 or 5, complete and execute any amendment or amendments thereto, and timely file such form with the United States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and any applicable stock exchange or similar authority;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attorneys-in-fact, or the substitute or substitutes or delegee or delegees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supersedes all other powers of attorney previously executed by the undersigned in respect of the subject matter described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7th day of October 2026.</w:t>
      </w:r>
    </w:p>
    <w:p>
      <w:pPr>
        <w:pStyle w:val="TextBody"/>
        <w:bidi w:val="0"/>
        <w:spacing w:before="0" w:after="0"/>
        <w:ind w:left="0" w:right="0" w:firstLine="720"/>
        <w:jc w:val="left"/>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875"/>
        <w:gridCol w:w="1655"/>
        <w:gridCol w:w="75"/>
      </w:tblGrid>
      <w:tr>
        <w:trPr/>
        <w:tc>
          <w:tcPr>
            <w:tcW w:w="875" w:type="dxa"/>
            <w:tcBorders/>
            <w:vAlign w:val="center"/>
          </w:tcPr>
          <w:p>
            <w:pPr>
              <w:pStyle w:val="TableContents"/>
              <w:bidi w:val="0"/>
              <w:spacing w:before="0" w:after="283"/>
              <w:jc w:val="left"/>
              <w:rPr>
                <w:sz w:val="20"/>
              </w:rPr>
            </w:pPr>
            <w:r>
              <w:rPr>
                <w:sz w:val="20"/>
              </w:rPr>
              <w:t>Name:</w:t>
            </w:r>
          </w:p>
        </w:tc>
        <w:tc>
          <w:tcPr>
            <w:tcW w:w="1655" w:type="dxa"/>
            <w:tcBorders>
              <w:bottom w:val="single" w:sz="8" w:space="0" w:color="000000"/>
            </w:tcBorders>
            <w:tcMar>
              <w:bottom w:w="28" w:type="dxa"/>
            </w:tcMar>
            <w:vAlign w:val="center"/>
          </w:tcPr>
          <w:p>
            <w:pPr>
              <w:pStyle w:val="TableContents"/>
              <w:bidi w:val="0"/>
              <w:spacing w:before="0" w:after="283"/>
              <w:jc w:val="left"/>
              <w:rPr>
                <w:sz w:val="20"/>
              </w:rPr>
            </w:pPr>
            <w:r>
              <w:rPr>
                <w:sz w:val="20"/>
              </w:rPr>
              <w:t>Matthew Frymier</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sz w:val="20"/>
              </w:rPr>
            </w:pPr>
            <w:r>
              <w:rPr>
                <w:sz w:val="20"/>
              </w:rPr>
              <w:t>Signature:</w:t>
            </w:r>
          </w:p>
        </w:tc>
        <w:tc>
          <w:tcPr>
            <w:tcW w:w="165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Matthew Frymier</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83618" TargetMode="External"/><Relationship Id="rId3" Type="http://schemas.openxmlformats.org/officeDocument/2006/relationships/hyperlink" Target="http://www.sec.gov/cgi-bin/browse-edgar?action=getcompany&amp;CIK=000209259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1007</Words>
  <Characters>5439</Characters>
  <CharactersWithSpaces>6430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